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45B6E" w14:textId="77777777" w:rsidR="00756024" w:rsidRDefault="00AD240E" w:rsidP="004611B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5CB45FB4" w14:textId="77777777" w:rsidR="00756024" w:rsidRDefault="00756024" w:rsidP="004611B3">
      <w:pPr>
        <w:spacing w:line="480" w:lineRule="auto"/>
        <w:rPr>
          <w:rFonts w:ascii="Times New Roman" w:hAnsi="Times New Roman" w:cs="Times New Roman"/>
          <w:b/>
          <w:sz w:val="24"/>
          <w:szCs w:val="24"/>
        </w:rPr>
      </w:pPr>
    </w:p>
    <w:p w14:paraId="0EC866F1" w14:textId="77777777" w:rsidR="00756024" w:rsidRDefault="00756024" w:rsidP="004611B3">
      <w:pPr>
        <w:spacing w:line="480" w:lineRule="auto"/>
        <w:rPr>
          <w:rFonts w:ascii="Times New Roman" w:hAnsi="Times New Roman" w:cs="Times New Roman"/>
          <w:b/>
          <w:sz w:val="24"/>
          <w:szCs w:val="24"/>
        </w:rPr>
      </w:pPr>
    </w:p>
    <w:p w14:paraId="3921EA44" w14:textId="7894EB4E" w:rsidR="00AD240E" w:rsidRPr="00EF14D9" w:rsidRDefault="00C34EAC" w:rsidP="0075602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Reflection </w:t>
      </w:r>
    </w:p>
    <w:p w14:paraId="65250DD0" w14:textId="77777777"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Student’s name</w:t>
      </w:r>
    </w:p>
    <w:p w14:paraId="598FDFF8" w14:textId="77777777"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Institutional</w:t>
      </w:r>
      <w:r>
        <w:rPr>
          <w:rFonts w:ascii="Times New Roman" w:hAnsi="Times New Roman" w:cs="Times New Roman"/>
          <w:sz w:val="24"/>
          <w:szCs w:val="24"/>
        </w:rPr>
        <w:t xml:space="preserve"> </w:t>
      </w:r>
      <w:r w:rsidRPr="00AD240E">
        <w:rPr>
          <w:rFonts w:ascii="Times New Roman" w:hAnsi="Times New Roman" w:cs="Times New Roman"/>
          <w:sz w:val="24"/>
          <w:szCs w:val="24"/>
        </w:rPr>
        <w:t>affiliation</w:t>
      </w:r>
    </w:p>
    <w:p w14:paraId="7F900D26" w14:textId="77777777"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Course code</w:t>
      </w:r>
    </w:p>
    <w:p w14:paraId="545565C3" w14:textId="77777777"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Instructor’s name</w:t>
      </w:r>
    </w:p>
    <w:p w14:paraId="6B2DC686" w14:textId="77777777" w:rsidR="00AD240E" w:rsidRPr="00AD240E" w:rsidRDefault="00AD240E" w:rsidP="00756024">
      <w:pPr>
        <w:spacing w:line="480" w:lineRule="auto"/>
        <w:jc w:val="center"/>
        <w:rPr>
          <w:rFonts w:ascii="Times New Roman" w:hAnsi="Times New Roman" w:cs="Times New Roman"/>
          <w:sz w:val="24"/>
          <w:szCs w:val="24"/>
        </w:rPr>
      </w:pPr>
      <w:r w:rsidRPr="00AD240E">
        <w:rPr>
          <w:rFonts w:ascii="Times New Roman" w:hAnsi="Times New Roman" w:cs="Times New Roman"/>
          <w:sz w:val="24"/>
          <w:szCs w:val="24"/>
        </w:rPr>
        <w:t>Date</w:t>
      </w:r>
    </w:p>
    <w:p w14:paraId="5625F6F8" w14:textId="77777777" w:rsidR="00AD240E" w:rsidRDefault="00AD240E" w:rsidP="004611B3">
      <w:pPr>
        <w:spacing w:line="480" w:lineRule="auto"/>
        <w:rPr>
          <w:rFonts w:ascii="Times New Roman" w:hAnsi="Times New Roman" w:cs="Times New Roman"/>
          <w:b/>
          <w:sz w:val="24"/>
          <w:szCs w:val="24"/>
        </w:rPr>
      </w:pPr>
    </w:p>
    <w:p w14:paraId="09805E57" w14:textId="77777777" w:rsidR="00EF14D9" w:rsidRDefault="00EF14D9" w:rsidP="004611B3">
      <w:pPr>
        <w:spacing w:line="480" w:lineRule="auto"/>
        <w:rPr>
          <w:rFonts w:ascii="Times New Roman" w:hAnsi="Times New Roman" w:cs="Times New Roman"/>
          <w:b/>
          <w:sz w:val="24"/>
          <w:szCs w:val="24"/>
        </w:rPr>
      </w:pPr>
    </w:p>
    <w:p w14:paraId="1CAFE5B5" w14:textId="77777777" w:rsidR="00EF14D9" w:rsidRDefault="00EF14D9" w:rsidP="004611B3">
      <w:pPr>
        <w:spacing w:line="480" w:lineRule="auto"/>
        <w:rPr>
          <w:rFonts w:ascii="Times New Roman" w:hAnsi="Times New Roman" w:cs="Times New Roman"/>
          <w:b/>
          <w:sz w:val="24"/>
          <w:szCs w:val="24"/>
        </w:rPr>
      </w:pPr>
    </w:p>
    <w:p w14:paraId="230C09C7" w14:textId="77777777" w:rsidR="00EF14D9" w:rsidRDefault="00EF14D9" w:rsidP="004611B3">
      <w:pPr>
        <w:spacing w:line="480" w:lineRule="auto"/>
        <w:rPr>
          <w:rFonts w:ascii="Times New Roman" w:hAnsi="Times New Roman" w:cs="Times New Roman"/>
          <w:b/>
          <w:sz w:val="24"/>
          <w:szCs w:val="24"/>
        </w:rPr>
      </w:pPr>
    </w:p>
    <w:p w14:paraId="1FDFD38A" w14:textId="77777777" w:rsidR="00EF14D9" w:rsidRDefault="00EF14D9" w:rsidP="004611B3">
      <w:pPr>
        <w:spacing w:line="480" w:lineRule="auto"/>
        <w:rPr>
          <w:rFonts w:ascii="Times New Roman" w:hAnsi="Times New Roman" w:cs="Times New Roman"/>
          <w:b/>
          <w:sz w:val="24"/>
          <w:szCs w:val="24"/>
        </w:rPr>
      </w:pPr>
    </w:p>
    <w:p w14:paraId="68C30A1B" w14:textId="77777777" w:rsidR="00EF14D9" w:rsidRDefault="00EF14D9" w:rsidP="004611B3">
      <w:pPr>
        <w:spacing w:line="480" w:lineRule="auto"/>
        <w:rPr>
          <w:rFonts w:ascii="Times New Roman" w:hAnsi="Times New Roman" w:cs="Times New Roman"/>
          <w:b/>
          <w:sz w:val="24"/>
          <w:szCs w:val="24"/>
        </w:rPr>
      </w:pPr>
    </w:p>
    <w:p w14:paraId="1D6797C2" w14:textId="77777777" w:rsidR="00EF14D9" w:rsidRDefault="00EF14D9" w:rsidP="004611B3">
      <w:pPr>
        <w:spacing w:line="480" w:lineRule="auto"/>
        <w:rPr>
          <w:rFonts w:ascii="Times New Roman" w:hAnsi="Times New Roman" w:cs="Times New Roman"/>
          <w:b/>
          <w:sz w:val="24"/>
          <w:szCs w:val="24"/>
        </w:rPr>
      </w:pPr>
    </w:p>
    <w:p w14:paraId="2A35C12C" w14:textId="77777777" w:rsidR="00EF14D9" w:rsidRDefault="00EF14D9" w:rsidP="004611B3">
      <w:pPr>
        <w:spacing w:line="480" w:lineRule="auto"/>
        <w:rPr>
          <w:rFonts w:ascii="Times New Roman" w:hAnsi="Times New Roman" w:cs="Times New Roman"/>
          <w:b/>
          <w:sz w:val="24"/>
          <w:szCs w:val="24"/>
        </w:rPr>
      </w:pPr>
    </w:p>
    <w:p w14:paraId="6B408AB3" w14:textId="77777777" w:rsidR="00EF14D9" w:rsidRDefault="00EF14D9" w:rsidP="004611B3">
      <w:pPr>
        <w:spacing w:line="480" w:lineRule="auto"/>
        <w:rPr>
          <w:rFonts w:ascii="Times New Roman" w:hAnsi="Times New Roman" w:cs="Times New Roman"/>
          <w:b/>
          <w:sz w:val="24"/>
          <w:szCs w:val="24"/>
        </w:rPr>
      </w:pPr>
    </w:p>
    <w:p w14:paraId="2615ED70" w14:textId="77777777" w:rsidR="00EF14D9" w:rsidRDefault="00EF14D9" w:rsidP="004611B3">
      <w:pPr>
        <w:spacing w:line="480" w:lineRule="auto"/>
        <w:rPr>
          <w:rFonts w:ascii="Times New Roman" w:hAnsi="Times New Roman" w:cs="Times New Roman"/>
          <w:b/>
          <w:sz w:val="24"/>
          <w:szCs w:val="24"/>
        </w:rPr>
      </w:pPr>
    </w:p>
    <w:p w14:paraId="3242B7A2" w14:textId="77777777" w:rsidR="00756024" w:rsidRDefault="00756024" w:rsidP="004611B3">
      <w:pPr>
        <w:spacing w:line="480" w:lineRule="auto"/>
        <w:rPr>
          <w:rFonts w:ascii="Times New Roman" w:hAnsi="Times New Roman" w:cs="Times New Roman"/>
          <w:b/>
          <w:sz w:val="24"/>
          <w:szCs w:val="24"/>
        </w:rPr>
      </w:pPr>
    </w:p>
    <w:p w14:paraId="0954046A" w14:textId="092D93C2" w:rsidR="00C34EAC" w:rsidRPr="00C34EAC" w:rsidRDefault="00C34EAC" w:rsidP="00C34EA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Reflection </w:t>
      </w:r>
    </w:p>
    <w:p w14:paraId="67DC4514" w14:textId="63C00450" w:rsidR="00C34EAC" w:rsidRPr="007B60B5" w:rsidRDefault="00C34EAC" w:rsidP="00C34EAC">
      <w:pPr>
        <w:ind w:firstLine="720"/>
        <w:jc w:val="both"/>
        <w:rPr>
          <w:rFonts w:ascii="Times New Roman" w:hAnsi="Times New Roman" w:cs="Times New Roman"/>
          <w:sz w:val="24"/>
          <w:szCs w:val="24"/>
        </w:rPr>
      </w:pPr>
      <w:r w:rsidRPr="007B60B5">
        <w:rPr>
          <w:rFonts w:ascii="Times New Roman" w:hAnsi="Times New Roman" w:cs="Times New Roman"/>
          <w:sz w:val="24"/>
          <w:szCs w:val="24"/>
        </w:rPr>
        <w:t xml:space="preserve">AT&amp;T Inc. and Verizon are telecommunication industry based. The revenue account and the net income are the primary accounts any potential investors would </w:t>
      </w:r>
      <w:r w:rsidRPr="007B60B5">
        <w:rPr>
          <w:rFonts w:ascii="Times New Roman" w:hAnsi="Times New Roman" w:cs="Times New Roman"/>
          <w:sz w:val="24"/>
          <w:szCs w:val="24"/>
        </w:rPr>
        <w:t>analyse</w:t>
      </w:r>
      <w:r w:rsidRPr="007B60B5">
        <w:rPr>
          <w:rFonts w:ascii="Times New Roman" w:hAnsi="Times New Roman" w:cs="Times New Roman"/>
          <w:sz w:val="24"/>
          <w:szCs w:val="24"/>
        </w:rPr>
        <w:t xml:space="preserve"> as part of the due diligence process. This is because these accounts are critical at </w:t>
      </w:r>
      <w:r w:rsidRPr="007B60B5">
        <w:rPr>
          <w:rFonts w:ascii="Times New Roman" w:hAnsi="Times New Roman" w:cs="Times New Roman"/>
          <w:sz w:val="24"/>
          <w:szCs w:val="24"/>
        </w:rPr>
        <w:t>analysing</w:t>
      </w:r>
      <w:r w:rsidRPr="007B60B5">
        <w:rPr>
          <w:rFonts w:ascii="Times New Roman" w:hAnsi="Times New Roman" w:cs="Times New Roman"/>
          <w:sz w:val="24"/>
          <w:szCs w:val="24"/>
        </w:rPr>
        <w:t xml:space="preserve"> the profitability of this company and eventual price income attributable to shareholders. On the balance sheet, cash and cash equivalent, Property, Plant and equipment, Dividend payable and additional paid-In capital are also important to a potential inventor </w:t>
      </w:r>
      <w:r w:rsidRPr="007B60B5">
        <w:rPr>
          <w:rFonts w:ascii="Times New Roman" w:hAnsi="Times New Roman" w:cs="Times New Roman"/>
          <w:sz w:val="24"/>
          <w:szCs w:val="24"/>
        </w:rPr>
        <w:t>analysing</w:t>
      </w:r>
      <w:r w:rsidRPr="007B60B5">
        <w:rPr>
          <w:rFonts w:ascii="Times New Roman" w:hAnsi="Times New Roman" w:cs="Times New Roman"/>
          <w:sz w:val="24"/>
          <w:szCs w:val="24"/>
        </w:rPr>
        <w:t xml:space="preserve"> the telecommunication industry. Cash and Cash equivalent help in looking into the liquidity of the company while Property plant and equipment helps to understand the rationale beyond management capital decisions such as the prospect of good performance in the future. In addition to capital gain, investors prefer companies that pay dividends due to their liquidity needs and therefore, a dividend payable account is one of the important accounts they are interested in. The telecommunication industry continues to face intense competition due to the advancement of technology and easy access to technology and these accounts will provide a deep understanding of the financial position. </w:t>
      </w:r>
    </w:p>
    <w:p w14:paraId="08531066" w14:textId="77777777" w:rsidR="00C34EAC" w:rsidRPr="007B60B5" w:rsidRDefault="00C34EAC" w:rsidP="00C34EAC">
      <w:pPr>
        <w:ind w:firstLine="720"/>
        <w:jc w:val="both"/>
        <w:rPr>
          <w:rFonts w:ascii="Times New Roman" w:hAnsi="Times New Roman" w:cs="Times New Roman"/>
          <w:sz w:val="24"/>
          <w:szCs w:val="24"/>
        </w:rPr>
      </w:pPr>
      <w:r w:rsidRPr="007B60B5">
        <w:rPr>
          <w:rFonts w:ascii="Times New Roman" w:hAnsi="Times New Roman" w:cs="Times New Roman"/>
          <w:sz w:val="24"/>
          <w:szCs w:val="24"/>
        </w:rPr>
        <w:t>Verizon's operating activities are the main source of cash inflow into the company according to its cash flow statement which is expected. However, the company invested significantly during 2019 as investing activities used 17,581. Further analysis indicates 95 percent of this amount was used for capital expenditure purposes. Financing activities also used substantial cash resulting in cash outflow. Although the company in 2019 borrowed to finance its operation, it, however, used a substantial amount to settle its outstanding long-term debt and paid dividends. Consequently, investing activities also recorded a cash outflow for the company. In general, the same trend appears in AT&amp;T company. In investing activities, capital expenditure especially on the purchase of property plant and equipment. Under the financing activities, AT&amp;T used a significant amount of cash to retire both the short term and long-term debts and payment of the dividend. However, it also raised a small amount of cash through short term loans and issuance of preferred stocks, and the issuance of the preferred interest on the subsidiary.</w:t>
      </w:r>
    </w:p>
    <w:p w14:paraId="75A8BD64" w14:textId="7F8D1061" w:rsidR="00C34EAC" w:rsidRPr="007B60B5" w:rsidRDefault="00C34EAC" w:rsidP="00C34EAC">
      <w:pPr>
        <w:ind w:firstLine="720"/>
        <w:jc w:val="both"/>
        <w:rPr>
          <w:rFonts w:ascii="Times New Roman" w:hAnsi="Times New Roman" w:cs="Times New Roman"/>
          <w:sz w:val="24"/>
          <w:szCs w:val="24"/>
        </w:rPr>
      </w:pPr>
      <w:r w:rsidRPr="007B60B5">
        <w:rPr>
          <w:rFonts w:ascii="Times New Roman" w:hAnsi="Times New Roman" w:cs="Times New Roman"/>
          <w:sz w:val="24"/>
          <w:szCs w:val="24"/>
        </w:rPr>
        <w:t xml:space="preserve">The selected ratio under the liquidity criteria includes the current ratio and the account turnover ratio. The current ratio is the basic ratio that is critical in </w:t>
      </w:r>
      <w:r w:rsidRPr="007B60B5">
        <w:rPr>
          <w:rFonts w:ascii="Times New Roman" w:hAnsi="Times New Roman" w:cs="Times New Roman"/>
          <w:sz w:val="24"/>
          <w:szCs w:val="24"/>
        </w:rPr>
        <w:t>analysing</w:t>
      </w:r>
      <w:r w:rsidRPr="007B60B5">
        <w:rPr>
          <w:rFonts w:ascii="Times New Roman" w:hAnsi="Times New Roman" w:cs="Times New Roman"/>
          <w:sz w:val="24"/>
          <w:szCs w:val="24"/>
        </w:rPr>
        <w:t xml:space="preserve"> the liquidity of any company. It indicates the ability of a company to pays its short-term obligation as and when they fall due to its current asset. Inventory turnover on the other hand indicates how many times account receivable is converted to cash through the collection. Under the profitability criteria, the profit margin is the basic ratio that indicates how profitable a company is and therefore critical</w:t>
      </w:r>
      <w:r>
        <w:rPr>
          <w:rFonts w:ascii="Times New Roman" w:hAnsi="Times New Roman" w:cs="Times New Roman"/>
          <w:sz w:val="24"/>
          <w:szCs w:val="24"/>
        </w:rPr>
        <w:t xml:space="preserve"> </w:t>
      </w:r>
      <w:r w:rsidRPr="00C34EAC">
        <w:rPr>
          <w:rFonts w:ascii="Times New Roman" w:hAnsi="Times New Roman" w:cs="Times New Roman"/>
          <w:sz w:val="24"/>
          <w:szCs w:val="24"/>
        </w:rPr>
        <w:t>(</w:t>
      </w:r>
      <w:proofErr w:type="spellStart"/>
      <w:r w:rsidRPr="00C34EAC">
        <w:rPr>
          <w:rFonts w:ascii="Times New Roman" w:hAnsi="Times New Roman" w:cs="Times New Roman"/>
          <w:sz w:val="24"/>
          <w:szCs w:val="24"/>
        </w:rPr>
        <w:t>Dicle</w:t>
      </w:r>
      <w:proofErr w:type="spellEnd"/>
      <w:r w:rsidRPr="00C34EAC">
        <w:rPr>
          <w:rFonts w:ascii="Times New Roman" w:hAnsi="Times New Roman" w:cs="Times New Roman"/>
          <w:sz w:val="24"/>
          <w:szCs w:val="24"/>
        </w:rPr>
        <w:t xml:space="preserve"> &amp; Meyer, 2018)</w:t>
      </w:r>
      <w:r w:rsidRPr="007B60B5">
        <w:rPr>
          <w:rFonts w:ascii="Times New Roman" w:hAnsi="Times New Roman" w:cs="Times New Roman"/>
          <w:sz w:val="24"/>
          <w:szCs w:val="24"/>
        </w:rPr>
        <w:t xml:space="preserve">. Asset turnover on the other hand shows how efficient the company has been n utilizing its assets in generating revenue and because the telecommunication industry is assets intensive, it is prudent to look at it. On solvency ratio, the debt to asset and the time interest earned ratios are </w:t>
      </w:r>
      <w:r w:rsidRPr="007B60B5">
        <w:rPr>
          <w:rFonts w:ascii="Times New Roman" w:hAnsi="Times New Roman" w:cs="Times New Roman"/>
          <w:sz w:val="24"/>
          <w:szCs w:val="24"/>
        </w:rPr>
        <w:t>analysed</w:t>
      </w:r>
      <w:r w:rsidRPr="007B60B5">
        <w:rPr>
          <w:rFonts w:ascii="Times New Roman" w:hAnsi="Times New Roman" w:cs="Times New Roman"/>
          <w:sz w:val="24"/>
          <w:szCs w:val="24"/>
        </w:rPr>
        <w:t xml:space="preserve"> as they are basic and easy to understand and estimate. According to these ratios, Verizon is more liquid, profitable, and more solvent than that AT&amp;T </w:t>
      </w:r>
    </w:p>
    <w:p w14:paraId="6576A933" w14:textId="77777777" w:rsidR="00C34EAC" w:rsidRPr="007B60B5" w:rsidRDefault="00C34EAC" w:rsidP="00C34EAC">
      <w:pPr>
        <w:ind w:firstLine="720"/>
        <w:jc w:val="both"/>
        <w:rPr>
          <w:rFonts w:ascii="Times New Roman" w:hAnsi="Times New Roman" w:cs="Times New Roman"/>
          <w:sz w:val="24"/>
          <w:szCs w:val="24"/>
        </w:rPr>
      </w:pPr>
      <w:r w:rsidRPr="007B60B5">
        <w:rPr>
          <w:rFonts w:ascii="Times New Roman" w:hAnsi="Times New Roman" w:cs="Times New Roman"/>
          <w:sz w:val="24"/>
          <w:szCs w:val="24"/>
        </w:rPr>
        <w:t xml:space="preserve">According to the information gathered and the ratio analysis performed on these companies, </w:t>
      </w:r>
      <w:proofErr w:type="gramStart"/>
      <w:r w:rsidRPr="007B60B5">
        <w:rPr>
          <w:rFonts w:ascii="Times New Roman" w:hAnsi="Times New Roman" w:cs="Times New Roman"/>
          <w:sz w:val="24"/>
          <w:szCs w:val="24"/>
        </w:rPr>
        <w:t>it's</w:t>
      </w:r>
      <w:proofErr w:type="gramEnd"/>
      <w:r w:rsidRPr="007B60B5">
        <w:rPr>
          <w:rFonts w:ascii="Times New Roman" w:hAnsi="Times New Roman" w:cs="Times New Roman"/>
          <w:sz w:val="24"/>
          <w:szCs w:val="24"/>
        </w:rPr>
        <w:t xml:space="preserve"> prudent to invest in Verizon company. It is more profitable, has a higher dividend </w:t>
      </w:r>
      <w:proofErr w:type="spellStart"/>
      <w:r w:rsidRPr="007B60B5">
        <w:rPr>
          <w:rFonts w:ascii="Times New Roman" w:hAnsi="Times New Roman" w:cs="Times New Roman"/>
          <w:sz w:val="24"/>
          <w:szCs w:val="24"/>
        </w:rPr>
        <w:t>payout</w:t>
      </w:r>
      <w:proofErr w:type="spellEnd"/>
      <w:r w:rsidRPr="007B60B5">
        <w:rPr>
          <w:rFonts w:ascii="Times New Roman" w:hAnsi="Times New Roman" w:cs="Times New Roman"/>
          <w:sz w:val="24"/>
          <w:szCs w:val="24"/>
        </w:rPr>
        <w:t xml:space="preserve"> and its price is on the upward trend which suggests an increasing capital gain. </w:t>
      </w:r>
      <w:r w:rsidRPr="007B60B5">
        <w:rPr>
          <w:rFonts w:ascii="Times New Roman" w:hAnsi="Times New Roman" w:cs="Times New Roman"/>
          <w:sz w:val="24"/>
          <w:szCs w:val="24"/>
        </w:rPr>
        <w:lastRenderedPageBreak/>
        <w:t>Additionally, its reputation as indicates by the amount of goodwill in its balance sheet indicates its preferred as compared to AT&amp;T.</w:t>
      </w:r>
    </w:p>
    <w:p w14:paraId="1445FDBE" w14:textId="77777777" w:rsidR="00C34EAC" w:rsidRPr="007B60B5" w:rsidRDefault="00C34EAC" w:rsidP="00C34EAC">
      <w:pPr>
        <w:ind w:firstLine="720"/>
        <w:jc w:val="both"/>
        <w:rPr>
          <w:rFonts w:ascii="Times New Roman" w:hAnsi="Times New Roman" w:cs="Times New Roman"/>
          <w:sz w:val="24"/>
          <w:szCs w:val="24"/>
        </w:rPr>
      </w:pPr>
      <w:r w:rsidRPr="007B60B5">
        <w:rPr>
          <w:rFonts w:ascii="Times New Roman" w:hAnsi="Times New Roman" w:cs="Times New Roman"/>
          <w:sz w:val="24"/>
          <w:szCs w:val="24"/>
        </w:rPr>
        <w:t xml:space="preserve">In concluding above on the preferred company to invest in, I relied on both financial and non-financial information. Although most people overlook non-financial information in making an investment decision, </w:t>
      </w:r>
      <w:proofErr w:type="gramStart"/>
      <w:r w:rsidRPr="007B60B5">
        <w:rPr>
          <w:rFonts w:ascii="Times New Roman" w:hAnsi="Times New Roman" w:cs="Times New Roman"/>
          <w:sz w:val="24"/>
          <w:szCs w:val="24"/>
        </w:rPr>
        <w:t>it’s</w:t>
      </w:r>
      <w:proofErr w:type="gramEnd"/>
      <w:r w:rsidRPr="007B60B5">
        <w:rPr>
          <w:rFonts w:ascii="Times New Roman" w:hAnsi="Times New Roman" w:cs="Times New Roman"/>
          <w:sz w:val="24"/>
          <w:szCs w:val="24"/>
        </w:rPr>
        <w:t xml:space="preserve"> important to understand that it also plays a crucial part and the two are equally important and therefore they should be looked at together.</w:t>
      </w:r>
    </w:p>
    <w:p w14:paraId="5C24314C" w14:textId="35967DA2" w:rsidR="00C34EAC" w:rsidRPr="007B60B5" w:rsidRDefault="00C34EAC" w:rsidP="00C34EAC">
      <w:pPr>
        <w:ind w:firstLine="720"/>
        <w:jc w:val="both"/>
        <w:rPr>
          <w:rFonts w:ascii="Times New Roman" w:hAnsi="Times New Roman" w:cs="Times New Roman"/>
          <w:sz w:val="24"/>
          <w:szCs w:val="24"/>
        </w:rPr>
      </w:pPr>
      <w:r w:rsidRPr="007B60B5">
        <w:rPr>
          <w:rFonts w:ascii="Times New Roman" w:hAnsi="Times New Roman" w:cs="Times New Roman"/>
          <w:sz w:val="24"/>
          <w:szCs w:val="24"/>
        </w:rPr>
        <w:t xml:space="preserve">This project advanced my skills on how to </w:t>
      </w:r>
      <w:r w:rsidRPr="007B60B5">
        <w:rPr>
          <w:rFonts w:ascii="Times New Roman" w:hAnsi="Times New Roman" w:cs="Times New Roman"/>
          <w:sz w:val="24"/>
          <w:szCs w:val="24"/>
        </w:rPr>
        <w:t>analyse</w:t>
      </w:r>
      <w:r w:rsidRPr="007B60B5">
        <w:rPr>
          <w:rFonts w:ascii="Times New Roman" w:hAnsi="Times New Roman" w:cs="Times New Roman"/>
          <w:sz w:val="24"/>
          <w:szCs w:val="24"/>
        </w:rPr>
        <w:t xml:space="preserve"> companies before making an investment decision. Also, I have learned several non-financial information that should be </w:t>
      </w:r>
      <w:r w:rsidRPr="007B60B5">
        <w:rPr>
          <w:rFonts w:ascii="Times New Roman" w:hAnsi="Times New Roman" w:cs="Times New Roman"/>
          <w:sz w:val="24"/>
          <w:szCs w:val="24"/>
        </w:rPr>
        <w:t>analysed</w:t>
      </w:r>
      <w:r w:rsidRPr="007B60B5">
        <w:rPr>
          <w:rFonts w:ascii="Times New Roman" w:hAnsi="Times New Roman" w:cs="Times New Roman"/>
          <w:sz w:val="24"/>
          <w:szCs w:val="24"/>
        </w:rPr>
        <w:t xml:space="preserve"> for one to make a sound judgment.</w:t>
      </w:r>
    </w:p>
    <w:p w14:paraId="3809962B" w14:textId="695E8C3C" w:rsidR="00E278B8" w:rsidRDefault="00E278B8" w:rsidP="00C34EAC">
      <w:pPr>
        <w:spacing w:line="480" w:lineRule="auto"/>
        <w:ind w:firstLine="720"/>
      </w:pPr>
    </w:p>
    <w:p w14:paraId="6B36D893" w14:textId="321F6621" w:rsidR="00C34EAC" w:rsidRPr="00C34EAC" w:rsidRDefault="00C34EAC" w:rsidP="00C34EAC"/>
    <w:p w14:paraId="799DDB06" w14:textId="37E8699E" w:rsidR="00C34EAC" w:rsidRPr="00C34EAC" w:rsidRDefault="00C34EAC" w:rsidP="00C34EAC"/>
    <w:p w14:paraId="6A28B6BA" w14:textId="36F6DFBA" w:rsidR="00C34EAC" w:rsidRPr="00C34EAC" w:rsidRDefault="00C34EAC" w:rsidP="00C34EAC"/>
    <w:p w14:paraId="37F1BA76" w14:textId="4F8B1D2E" w:rsidR="00C34EAC" w:rsidRPr="00C34EAC" w:rsidRDefault="00C34EAC" w:rsidP="00C34EAC"/>
    <w:p w14:paraId="26EB3F29" w14:textId="29E2CC61" w:rsidR="00C34EAC" w:rsidRPr="00C34EAC" w:rsidRDefault="00C34EAC" w:rsidP="00C34EAC"/>
    <w:p w14:paraId="7CC77FD3" w14:textId="0C7FB2A6" w:rsidR="00C34EAC" w:rsidRPr="00C34EAC" w:rsidRDefault="00C34EAC" w:rsidP="00C34EAC"/>
    <w:p w14:paraId="19F53A7C" w14:textId="6FD17904" w:rsidR="00C34EAC" w:rsidRPr="00C34EAC" w:rsidRDefault="00C34EAC" w:rsidP="00C34EAC"/>
    <w:p w14:paraId="521C83B7" w14:textId="2AF5E7A9" w:rsidR="00C34EAC" w:rsidRPr="00C34EAC" w:rsidRDefault="00C34EAC" w:rsidP="00C34EAC"/>
    <w:p w14:paraId="36C5129D" w14:textId="4167F12B" w:rsidR="00C34EAC" w:rsidRPr="00C34EAC" w:rsidRDefault="00C34EAC" w:rsidP="00C34EAC"/>
    <w:p w14:paraId="4B9BDA2F" w14:textId="350E1591" w:rsidR="00C34EAC" w:rsidRPr="00C34EAC" w:rsidRDefault="00C34EAC" w:rsidP="00C34EAC"/>
    <w:p w14:paraId="785E2301" w14:textId="4E71DA91" w:rsidR="00C34EAC" w:rsidRPr="00C34EAC" w:rsidRDefault="00C34EAC" w:rsidP="00C34EAC"/>
    <w:p w14:paraId="00DADA9A" w14:textId="6700E4F7" w:rsidR="00C34EAC" w:rsidRPr="00C34EAC" w:rsidRDefault="00C34EAC" w:rsidP="00C34EAC"/>
    <w:p w14:paraId="285CB937" w14:textId="083A3DFD" w:rsidR="00C34EAC" w:rsidRPr="00C34EAC" w:rsidRDefault="00C34EAC" w:rsidP="00C34EAC"/>
    <w:p w14:paraId="3D68BF91" w14:textId="768A0167" w:rsidR="00C34EAC" w:rsidRDefault="00C34EAC" w:rsidP="00C34EAC"/>
    <w:p w14:paraId="2764C38E" w14:textId="55694BAF" w:rsidR="00C34EAC" w:rsidRDefault="00C34EAC" w:rsidP="00C34EAC">
      <w:pPr>
        <w:tabs>
          <w:tab w:val="left" w:pos="1680"/>
        </w:tabs>
      </w:pPr>
      <w:r>
        <w:tab/>
      </w:r>
    </w:p>
    <w:p w14:paraId="43895DF4" w14:textId="07E62A44" w:rsidR="00C34EAC" w:rsidRDefault="00C34EAC" w:rsidP="00C34EAC">
      <w:pPr>
        <w:tabs>
          <w:tab w:val="left" w:pos="1680"/>
        </w:tabs>
      </w:pPr>
    </w:p>
    <w:p w14:paraId="23F03744" w14:textId="5184E6E5" w:rsidR="00C34EAC" w:rsidRDefault="00C34EAC" w:rsidP="00C34EAC">
      <w:pPr>
        <w:tabs>
          <w:tab w:val="left" w:pos="1680"/>
        </w:tabs>
      </w:pPr>
    </w:p>
    <w:p w14:paraId="729ACC0F" w14:textId="379358BB" w:rsidR="00C34EAC" w:rsidRDefault="00C34EAC" w:rsidP="00C34EAC">
      <w:pPr>
        <w:tabs>
          <w:tab w:val="left" w:pos="1680"/>
        </w:tabs>
      </w:pPr>
    </w:p>
    <w:p w14:paraId="2ABFCC63" w14:textId="1B10AC43" w:rsidR="00C34EAC" w:rsidRDefault="00C34EAC" w:rsidP="00C34EAC">
      <w:pPr>
        <w:tabs>
          <w:tab w:val="left" w:pos="1680"/>
        </w:tabs>
      </w:pPr>
    </w:p>
    <w:p w14:paraId="69AD45F4" w14:textId="376183A6" w:rsidR="00C34EAC" w:rsidRDefault="00C34EAC" w:rsidP="00C34EAC">
      <w:pPr>
        <w:tabs>
          <w:tab w:val="left" w:pos="1680"/>
        </w:tabs>
      </w:pPr>
    </w:p>
    <w:p w14:paraId="33044143" w14:textId="45486588" w:rsidR="00C34EAC" w:rsidRDefault="00C34EAC" w:rsidP="00C34EAC">
      <w:pPr>
        <w:tabs>
          <w:tab w:val="left" w:pos="1680"/>
        </w:tabs>
      </w:pPr>
    </w:p>
    <w:p w14:paraId="056BE31C" w14:textId="16F44E57" w:rsidR="00C34EAC" w:rsidRDefault="00C34EAC" w:rsidP="00C34EAC">
      <w:pPr>
        <w:tabs>
          <w:tab w:val="left" w:pos="1680"/>
        </w:tabs>
      </w:pPr>
    </w:p>
    <w:p w14:paraId="271692EE" w14:textId="77777777" w:rsidR="00C34EAC" w:rsidRPr="00C34EAC" w:rsidRDefault="00C34EAC" w:rsidP="00C34EAC">
      <w:pPr>
        <w:shd w:val="clear" w:color="auto" w:fill="FFFFFF"/>
        <w:spacing w:after="0" w:line="240" w:lineRule="auto"/>
        <w:jc w:val="center"/>
        <w:rPr>
          <w:rFonts w:ascii="Times New Roman" w:eastAsia="Times New Roman" w:hAnsi="Times New Roman" w:cs="Times New Roman"/>
          <w:b/>
          <w:bCs/>
          <w:color w:val="000000"/>
          <w:sz w:val="24"/>
          <w:szCs w:val="24"/>
          <w:lang w:val="en-US"/>
        </w:rPr>
      </w:pPr>
      <w:r w:rsidRPr="00C34EAC">
        <w:rPr>
          <w:rFonts w:ascii="Times New Roman" w:eastAsia="Times New Roman" w:hAnsi="Times New Roman" w:cs="Times New Roman"/>
          <w:b/>
          <w:bCs/>
          <w:color w:val="000000"/>
          <w:sz w:val="24"/>
          <w:szCs w:val="24"/>
          <w:lang w:val="en-US"/>
        </w:rPr>
        <w:lastRenderedPageBreak/>
        <w:t>References</w:t>
      </w:r>
    </w:p>
    <w:p w14:paraId="280F74C0" w14:textId="77777777" w:rsidR="00C34EAC" w:rsidRPr="00C34EAC" w:rsidRDefault="00C34EAC" w:rsidP="00C34EAC">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proofErr w:type="spellStart"/>
      <w:r w:rsidRPr="00C34EAC">
        <w:rPr>
          <w:rFonts w:ascii="Times New Roman" w:eastAsia="Times New Roman" w:hAnsi="Times New Roman" w:cs="Times New Roman"/>
          <w:color w:val="000000"/>
          <w:sz w:val="24"/>
          <w:szCs w:val="24"/>
          <w:lang w:val="en-US"/>
        </w:rPr>
        <w:t>Dicle</w:t>
      </w:r>
      <w:proofErr w:type="spellEnd"/>
      <w:r w:rsidRPr="00C34EAC">
        <w:rPr>
          <w:rFonts w:ascii="Times New Roman" w:eastAsia="Times New Roman" w:hAnsi="Times New Roman" w:cs="Times New Roman"/>
          <w:color w:val="000000"/>
          <w:sz w:val="24"/>
          <w:szCs w:val="24"/>
          <w:lang w:val="en-US"/>
        </w:rPr>
        <w:t>, M. F., &amp; Meyer, J. (2018). Financial Statement and Ratio Analysis: A Classroom Perspective. </w:t>
      </w:r>
      <w:r w:rsidRPr="00C34EAC">
        <w:rPr>
          <w:rFonts w:ascii="Times New Roman" w:eastAsia="Times New Roman" w:hAnsi="Times New Roman" w:cs="Times New Roman"/>
          <w:i/>
          <w:iCs/>
          <w:color w:val="000000"/>
          <w:sz w:val="24"/>
          <w:szCs w:val="24"/>
          <w:lang w:val="en-US"/>
        </w:rPr>
        <w:t>SSRN Electronic Journal</w:t>
      </w:r>
      <w:r w:rsidRPr="00C34EAC">
        <w:rPr>
          <w:rFonts w:ascii="Times New Roman" w:eastAsia="Times New Roman" w:hAnsi="Times New Roman" w:cs="Times New Roman"/>
          <w:color w:val="000000"/>
          <w:sz w:val="24"/>
          <w:szCs w:val="24"/>
          <w:lang w:val="en-US"/>
        </w:rPr>
        <w:t>.</w:t>
      </w:r>
    </w:p>
    <w:p w14:paraId="356E16AE" w14:textId="77777777" w:rsidR="00C34EAC" w:rsidRPr="00C34EAC" w:rsidRDefault="00C34EAC" w:rsidP="00C34EAC">
      <w:pPr>
        <w:tabs>
          <w:tab w:val="left" w:pos="1680"/>
        </w:tabs>
      </w:pPr>
    </w:p>
    <w:sectPr w:rsidR="00C34EAC" w:rsidRPr="00C34EA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96717" w14:textId="77777777" w:rsidR="00611053" w:rsidRDefault="00611053" w:rsidP="00AD240E">
      <w:pPr>
        <w:spacing w:after="0" w:line="240" w:lineRule="auto"/>
      </w:pPr>
      <w:r>
        <w:separator/>
      </w:r>
    </w:p>
  </w:endnote>
  <w:endnote w:type="continuationSeparator" w:id="0">
    <w:p w14:paraId="652F4728" w14:textId="77777777" w:rsidR="00611053" w:rsidRDefault="00611053" w:rsidP="00AD2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C225D0" w14:textId="77777777" w:rsidR="00611053" w:rsidRDefault="00611053" w:rsidP="00AD240E">
      <w:pPr>
        <w:spacing w:after="0" w:line="240" w:lineRule="auto"/>
      </w:pPr>
      <w:r>
        <w:separator/>
      </w:r>
    </w:p>
  </w:footnote>
  <w:footnote w:type="continuationSeparator" w:id="0">
    <w:p w14:paraId="35C87A70" w14:textId="77777777" w:rsidR="00611053" w:rsidRDefault="00611053" w:rsidP="00AD2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1065803"/>
      <w:docPartObj>
        <w:docPartGallery w:val="Page Numbers (Top of Page)"/>
        <w:docPartUnique/>
      </w:docPartObj>
    </w:sdtPr>
    <w:sdtEndPr>
      <w:rPr>
        <w:noProof/>
      </w:rPr>
    </w:sdtEndPr>
    <w:sdtContent>
      <w:p w14:paraId="7EF75575" w14:textId="77777777" w:rsidR="00756024" w:rsidRDefault="007560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965F97" w14:textId="77777777" w:rsidR="00AD240E" w:rsidRDefault="00AD24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4E9"/>
    <w:rsid w:val="000556DD"/>
    <w:rsid w:val="00291583"/>
    <w:rsid w:val="004611B3"/>
    <w:rsid w:val="00611053"/>
    <w:rsid w:val="006120D3"/>
    <w:rsid w:val="00615AF6"/>
    <w:rsid w:val="006469D8"/>
    <w:rsid w:val="00756024"/>
    <w:rsid w:val="00AD240E"/>
    <w:rsid w:val="00BE01D3"/>
    <w:rsid w:val="00C34EAC"/>
    <w:rsid w:val="00C564E9"/>
    <w:rsid w:val="00D527F8"/>
    <w:rsid w:val="00E278B8"/>
    <w:rsid w:val="00EF14D9"/>
    <w:rsid w:val="00FE5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D458B"/>
  <w15:chartTrackingRefBased/>
  <w15:docId w15:val="{174E4209-ED0F-4E67-8CE0-B69AAB26C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40E"/>
    <w:rPr>
      <w:color w:val="0563C1" w:themeColor="hyperlink"/>
      <w:u w:val="single"/>
    </w:rPr>
  </w:style>
  <w:style w:type="paragraph" w:styleId="Header">
    <w:name w:val="header"/>
    <w:basedOn w:val="Normal"/>
    <w:link w:val="HeaderChar"/>
    <w:uiPriority w:val="99"/>
    <w:unhideWhenUsed/>
    <w:rsid w:val="00AD24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40E"/>
  </w:style>
  <w:style w:type="paragraph" w:styleId="Footer">
    <w:name w:val="footer"/>
    <w:basedOn w:val="Normal"/>
    <w:link w:val="FooterChar"/>
    <w:uiPriority w:val="99"/>
    <w:unhideWhenUsed/>
    <w:rsid w:val="00AD24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40E"/>
  </w:style>
  <w:style w:type="character" w:customStyle="1" w:styleId="gray">
    <w:name w:val="gray"/>
    <w:basedOn w:val="DefaultParagraphFont"/>
    <w:rsid w:val="00C34EAC"/>
  </w:style>
  <w:style w:type="paragraph" w:styleId="NormalWeb">
    <w:name w:val="Normal (Web)"/>
    <w:basedOn w:val="Normal"/>
    <w:uiPriority w:val="99"/>
    <w:semiHidden/>
    <w:unhideWhenUsed/>
    <w:rsid w:val="00C34EA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C34E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6647848">
      <w:bodyDiv w:val="1"/>
      <w:marLeft w:val="0"/>
      <w:marRight w:val="0"/>
      <w:marTop w:val="0"/>
      <w:marBottom w:val="0"/>
      <w:divBdr>
        <w:top w:val="none" w:sz="0" w:space="0" w:color="auto"/>
        <w:left w:val="none" w:sz="0" w:space="0" w:color="auto"/>
        <w:bottom w:val="none" w:sz="0" w:space="0" w:color="auto"/>
        <w:right w:val="none" w:sz="0" w:space="0" w:color="auto"/>
      </w:divBdr>
    </w:div>
    <w:div w:id="118745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Dagra</cp:lastModifiedBy>
  <cp:revision>2</cp:revision>
  <dcterms:created xsi:type="dcterms:W3CDTF">2020-12-11T22:34:00Z</dcterms:created>
  <dcterms:modified xsi:type="dcterms:W3CDTF">2020-12-11T22:34:00Z</dcterms:modified>
</cp:coreProperties>
</file>